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4bis                                                          </w:t>
      </w:r>
      <w:r>
        <w:rPr>
          <w:rFonts w:ascii="Arial" w:hAnsi="Arial" w:eastAsia="宋体" w:cs="Arial"/>
          <w:b/>
          <w:sz w:val="24"/>
          <w:szCs w:val="24"/>
          <w:lang w:eastAsia="zh-CN"/>
        </w:rPr>
        <w:t>R4-2</w:t>
      </w:r>
      <w:r>
        <w:rPr>
          <w:rFonts w:hint="eastAsia" w:eastAsia="宋体" w:cs="Arial"/>
          <w:b/>
          <w:sz w:val="24"/>
          <w:szCs w:val="24"/>
          <w:lang w:val="en-US" w:eastAsia="zh-CN"/>
        </w:rPr>
        <w:t>503795</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core requirements for less than 5MHz in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7.10.3.4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evolution [1] has been approved, and several objectives in the WID have RAN4 RRM involvement. In the last meeting we provided our initial views on potential impacts on RRM requirements and in this meeting we will continue to study the concrete RRM requirements.</w:t>
      </w:r>
    </w:p>
    <w:p>
      <w:pPr>
        <w:pStyle w:val="76"/>
        <w:rPr>
          <w:lang w:val="en-US"/>
        </w:rPr>
      </w:pPr>
      <w:r>
        <w:rPr>
          <w:lang w:val="en-US"/>
        </w:rPr>
        <w:t>Discussion</w:t>
      </w:r>
    </w:p>
    <w:p>
      <w:pPr>
        <w:rPr>
          <w:rFonts w:hint="eastAsia"/>
          <w:lang w:val="en-US" w:eastAsia="zh-CN"/>
        </w:rPr>
      </w:pPr>
      <w:r>
        <w:rPr>
          <w:rFonts w:hint="eastAsia"/>
          <w:lang w:val="en-US" w:eastAsia="zh-CN"/>
        </w:rPr>
        <w:t>In the last meeting , we still have one issue on NTN less than 5MHz and the wayforward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pPr>
            <w:r>
              <w:t>Issue 1-1-1: Measurement(SSB index detection requirements)</w:t>
            </w:r>
          </w:p>
          <w:p>
            <w:pPr>
              <w:spacing w:after="120"/>
              <w:rPr>
                <w:iCs/>
                <w:szCs w:val="21"/>
                <w:highlight w:val="green"/>
                <w:u w:val="single"/>
              </w:rPr>
            </w:pPr>
            <w:r>
              <w:rPr>
                <w:iCs/>
                <w:szCs w:val="21"/>
                <w:highlight w:val="green"/>
                <w:u w:val="single"/>
              </w:rPr>
              <w:t>Agreements:</w:t>
            </w:r>
          </w:p>
          <w:p>
            <w:pPr>
              <w:spacing w:after="120"/>
              <w:rPr>
                <w:iCs/>
                <w:szCs w:val="21"/>
                <w:highlight w:val="green"/>
              </w:rPr>
            </w:pPr>
            <w:r>
              <w:rPr>
                <w:iCs/>
                <w:szCs w:val="21"/>
                <w:highlight w:val="green"/>
              </w:rPr>
              <w:t>The number of SSB samples for Rel-18 NTN measurement requirements (</w:t>
            </w:r>
            <w:r>
              <w:rPr>
                <w:bCs/>
                <w:iCs/>
                <w:szCs w:val="21"/>
                <w:highlight w:val="green"/>
              </w:rPr>
              <w:t>T</w:t>
            </w:r>
            <w:r>
              <w:rPr>
                <w:bCs/>
                <w:iCs/>
                <w:szCs w:val="21"/>
                <w:highlight w:val="green"/>
                <w:vertAlign w:val="subscript"/>
              </w:rPr>
              <w:t>identify_xxx_with_index</w:t>
            </w:r>
            <w:r>
              <w:rPr>
                <w:bCs/>
                <w:iCs/>
                <w:szCs w:val="21"/>
                <w:highlight w:val="green"/>
              </w:rPr>
              <w:t>)</w:t>
            </w:r>
            <w:r>
              <w:rPr>
                <w:iCs/>
                <w:szCs w:val="21"/>
                <w:highlight w:val="green"/>
              </w:rPr>
              <w:t xml:space="preserve"> can be extended to </w:t>
            </w:r>
            <w:r>
              <w:rPr>
                <w:bCs/>
                <w:iCs/>
                <w:szCs w:val="21"/>
                <w:highlight w:val="green"/>
              </w:rPr>
              <w:t>by [3 or 4] and [3] for intra-frequency and inter-frequency cases respectively</w:t>
            </w:r>
            <w:r>
              <w:rPr>
                <w:iCs/>
                <w:szCs w:val="21"/>
                <w:highlight w:val="green"/>
              </w:rPr>
              <w:t>.</w:t>
            </w:r>
          </w:p>
          <w:p>
            <w:pPr>
              <w:spacing w:after="120"/>
              <w:rPr>
                <w:rFonts w:hint="eastAsia"/>
                <w:color w:val="0070C0"/>
                <w:lang w:eastAsia="zh-CN"/>
              </w:rPr>
            </w:pPr>
            <w:r>
              <w:rPr>
                <w:iCs/>
                <w:szCs w:val="21"/>
                <w:highlight w:val="green"/>
                <w:lang w:eastAsia="zh-CN"/>
              </w:rPr>
              <w:t>Notes: the final value can be confirmed in the next meeting and the corresponding value will be updated in the draftCR</w:t>
            </w:r>
            <w:r>
              <w:rPr>
                <w:iCs/>
                <w:szCs w:val="21"/>
                <w:lang w:eastAsia="zh-CN"/>
              </w:rPr>
              <w:t>.</w:t>
            </w:r>
          </w:p>
          <w:p>
            <w:pPr>
              <w:pStyle w:val="5"/>
            </w:pPr>
            <w:r>
              <w:t xml:space="preserve">Issue 1-1-2: </w:t>
            </w:r>
            <w:r>
              <w:rPr>
                <w:rFonts w:hint="eastAsia"/>
              </w:rPr>
              <w:t>CHO</w:t>
            </w:r>
          </w:p>
          <w:p>
            <w:pPr>
              <w:rPr>
                <w:highlight w:val="green"/>
                <w:u w:val="single"/>
                <w:lang w:val="sv-SE" w:eastAsia="zh-CN"/>
              </w:rPr>
            </w:pPr>
            <w:r>
              <w:rPr>
                <w:rFonts w:hint="eastAsia"/>
                <w:highlight w:val="green"/>
                <w:u w:val="single"/>
                <w:lang w:val="sv-SE" w:eastAsia="zh-CN"/>
              </w:rPr>
              <w:t>A</w:t>
            </w:r>
            <w:r>
              <w:rPr>
                <w:highlight w:val="green"/>
                <w:u w:val="single"/>
                <w:lang w:val="sv-SE" w:eastAsia="zh-CN"/>
              </w:rPr>
              <w:t>greements:</w:t>
            </w:r>
          </w:p>
          <w:p>
            <w:pPr>
              <w:numPr>
                <w:ilvl w:val="0"/>
                <w:numId w:val="3"/>
              </w:numPr>
              <w:snapToGrid w:val="0"/>
              <w:spacing w:after="120"/>
              <w:rPr>
                <w:rFonts w:hint="default"/>
                <w:vertAlign w:val="baseline"/>
                <w:lang w:val="en-US" w:eastAsia="zh-CN"/>
              </w:rPr>
            </w:pPr>
            <w:r>
              <w:rPr>
                <w:iCs/>
                <w:szCs w:val="21"/>
                <w:highlight w:val="green"/>
              </w:rPr>
              <w:t xml:space="preserve">For CHO with L3 measurement, when </w:t>
            </w:r>
            <w:r>
              <w:rPr>
                <w:szCs w:val="21"/>
                <w:highlight w:val="green"/>
              </w:rPr>
              <w:t>T</w:t>
            </w:r>
            <w:r>
              <w:rPr>
                <w:szCs w:val="21"/>
                <w:highlight w:val="green"/>
                <w:vertAlign w:val="subscript"/>
              </w:rPr>
              <w:t>measure</w:t>
            </w:r>
            <w:r>
              <w:rPr>
                <w:iCs/>
                <w:szCs w:val="21"/>
                <w:highlight w:val="green"/>
              </w:rPr>
              <w:t xml:space="preserve"> is extended with [3] for intra-frequency case, T</w:t>
            </w:r>
            <w:r>
              <w:rPr>
                <w:iCs/>
                <w:szCs w:val="21"/>
                <w:highlight w:val="green"/>
                <w:vertAlign w:val="subscript"/>
              </w:rPr>
              <w:t xml:space="preserve">∆ </w:t>
            </w:r>
            <w:r>
              <w:rPr>
                <w:iCs/>
                <w:szCs w:val="21"/>
                <w:highlight w:val="green"/>
              </w:rPr>
              <w:t xml:space="preserve">in </w:t>
            </w:r>
            <w:r>
              <w:rPr>
                <w:szCs w:val="21"/>
                <w:highlight w:val="green"/>
              </w:rPr>
              <w:t>T</w:t>
            </w:r>
            <w:r>
              <w:rPr>
                <w:szCs w:val="21"/>
                <w:highlight w:val="green"/>
                <w:vertAlign w:val="subscript"/>
              </w:rPr>
              <w:t>interrupt</w:t>
            </w:r>
            <w:r>
              <w:rPr>
                <w:szCs w:val="21"/>
                <w:highlight w:val="green"/>
              </w:rPr>
              <w:t xml:space="preserve"> can </w:t>
            </w:r>
            <w:r>
              <w:rPr>
                <w:iCs/>
                <w:szCs w:val="21"/>
                <w:highlight w:val="green"/>
              </w:rPr>
              <w:t>be extended to [3] T</w:t>
            </w:r>
            <w:r>
              <w:rPr>
                <w:iCs/>
                <w:szCs w:val="21"/>
                <w:highlight w:val="green"/>
                <w:vertAlign w:val="subscript"/>
              </w:rPr>
              <w:t>rs</w:t>
            </w:r>
            <w:r>
              <w:rPr>
                <w:iCs/>
                <w:szCs w:val="21"/>
                <w:highlight w:val="green"/>
              </w:rPr>
              <w:t>.</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We have discussed several meetings on above two issues which have strong connection. Some companies deem that different UEs have different capabilities, if the second side condition is introduced, the UE with better capability would not spend too much time on measurement under a side condition which is better than legacy. For example, the legacy side condition for intra-frequency measurement is SNR=-6dB, if the improved side condition is SNR=-4dB like side condition for inter-frequency measurement, the measurement delay shall be reduced, that is, the number of SSB samples shall be reduced from 4 to 3. However, RAN4 has not defined two sets of requirements under different side conditions before, it is a little bit weird for us. The opponents mentioned that side condition is a generic condition, not only for intra-frequency measurement in this scenario, but for intra-frequency measurement in all scenarios. If the side condition is changed, that means all requirements shall be modified. This is obviously not reasonable. So we deem that the legacy side condition and legacy the number of SSB for intra-frequency and inter-frequency measurement shall be maintained.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However, we partially agree with that the measurement delay could be reduced. Some companies deem that TΔ shall be maintained as legacy which is 3T</w:t>
      </w:r>
      <w:r>
        <w:rPr>
          <w:rFonts w:hint="eastAsia"/>
          <w:vertAlign w:val="subscript"/>
          <w:lang w:val="en-US" w:eastAsia="zh-CN"/>
        </w:rPr>
        <w:t>rs</w:t>
      </w:r>
      <w:r>
        <w:rPr>
          <w:rFonts w:hint="eastAsia"/>
          <w:lang w:val="en-US" w:eastAsia="zh-CN"/>
        </w:rPr>
        <w:t xml:space="preserve"> in CHO scenario. Actually, we find that there are no any relevant CHO requirements for TN with less than 5MHz in the current spec, that is, if considering the requirement of HO with less than 5MHz, the situation is distinct from CHO since T</w:t>
      </w:r>
      <w:r>
        <w:rPr>
          <w:rFonts w:hint="eastAsia"/>
          <w:vertAlign w:val="subscript"/>
          <w:lang w:val="en-US" w:eastAsia="zh-CN"/>
        </w:rPr>
        <w:t>measure</w:t>
      </w:r>
      <w:r>
        <w:rPr>
          <w:rFonts w:hint="eastAsia"/>
          <w:lang w:val="en-US" w:eastAsia="zh-CN"/>
        </w:rPr>
        <w:t xml:space="preserve"> is not contained for HO. Thus, we shall have a comprehensive understanding. The TΔ shall be reduced to 2*T</w:t>
      </w:r>
      <w:r>
        <w:rPr>
          <w:rFonts w:hint="eastAsia"/>
          <w:vertAlign w:val="subscript"/>
          <w:lang w:val="en-US" w:eastAsia="zh-CN"/>
        </w:rPr>
        <w:t>rs</w:t>
      </w:r>
      <w:r>
        <w:rPr>
          <w:rFonts w:hint="eastAsia"/>
          <w:lang w:val="en-US" w:eastAsia="zh-CN"/>
        </w:rPr>
        <w:t xml:space="preserve"> due to new parameter T</w:t>
      </w:r>
      <w:r>
        <w:rPr>
          <w:rFonts w:hint="eastAsia"/>
          <w:vertAlign w:val="subscript"/>
          <w:lang w:val="en-US" w:eastAsia="zh-CN"/>
        </w:rPr>
        <w:t>measure</w:t>
      </w:r>
      <w:r>
        <w:rPr>
          <w:rFonts w:hint="eastAsia"/>
          <w:lang w:val="en-US" w:eastAsia="zh-CN"/>
        </w:rPr>
        <w:t xml:space="preserve"> for CHO.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Based on above analysis, we do think this is a compromise result for us.</w:t>
      </w:r>
    </w:p>
    <w:p>
      <w:pPr>
        <w:spacing w:after="120"/>
        <w:rPr>
          <w:b/>
          <w:bCs/>
          <w:iCs/>
          <w:szCs w:val="21"/>
          <w:highlight w:val="green"/>
        </w:rPr>
      </w:pPr>
      <w:r>
        <w:rPr>
          <w:rFonts w:hint="eastAsia"/>
          <w:b/>
          <w:bCs/>
          <w:lang w:val="en-US" w:eastAsia="zh-CN"/>
        </w:rPr>
        <w:t>Pr</w:t>
      </w:r>
      <w:r>
        <w:rPr>
          <w:rFonts w:hint="eastAsia"/>
          <w:b/>
          <w:bCs/>
          <w:highlight w:val="none"/>
          <w:lang w:val="en-US" w:eastAsia="zh-CN"/>
        </w:rPr>
        <w:t xml:space="preserve">oposal 1: </w:t>
      </w:r>
      <w:r>
        <w:rPr>
          <w:b/>
          <w:bCs/>
          <w:iCs/>
          <w:szCs w:val="21"/>
          <w:highlight w:val="none"/>
        </w:rPr>
        <w:t>The number of SSB samples for Rel-18 NTN measurement requirements (T</w:t>
      </w:r>
      <w:r>
        <w:rPr>
          <w:b/>
          <w:bCs/>
          <w:iCs/>
          <w:szCs w:val="21"/>
          <w:highlight w:val="none"/>
          <w:vertAlign w:val="subscript"/>
        </w:rPr>
        <w:t>identify_xxx_with_index</w:t>
      </w:r>
      <w:r>
        <w:rPr>
          <w:b/>
          <w:bCs/>
          <w:iCs/>
          <w:szCs w:val="21"/>
          <w:highlight w:val="none"/>
        </w:rPr>
        <w:t>) can be extended to by 4 and 3</w:t>
      </w:r>
      <w:r>
        <w:rPr>
          <w:rFonts w:hint="eastAsia" w:eastAsia="宋体"/>
          <w:b/>
          <w:bCs/>
          <w:iCs/>
          <w:szCs w:val="21"/>
          <w:highlight w:val="none"/>
          <w:lang w:val="en-US" w:eastAsia="zh-CN"/>
        </w:rPr>
        <w:t xml:space="preserve"> </w:t>
      </w:r>
      <w:r>
        <w:rPr>
          <w:b/>
          <w:bCs/>
          <w:iCs/>
          <w:szCs w:val="21"/>
          <w:highlight w:val="none"/>
        </w:rPr>
        <w:t>for intra-frequency and inter-frequency cases respectively.</w:t>
      </w:r>
    </w:p>
    <w:p>
      <w:pPr>
        <w:jc w:val="both"/>
        <w:rPr>
          <w:rFonts w:hint="default" w:eastAsia="宋体"/>
          <w:b/>
          <w:bCs/>
          <w:vertAlign w:val="baseline"/>
          <w:lang w:val="en-US" w:eastAsia="zh-CN"/>
        </w:rPr>
      </w:pPr>
      <w:r>
        <w:rPr>
          <w:rFonts w:hint="eastAsia" w:eastAsia="宋体"/>
          <w:b/>
          <w:bCs/>
          <w:vertAlign w:val="baseline"/>
          <w:lang w:val="en-US" w:eastAsia="zh-CN"/>
        </w:rPr>
        <w:t>Proposal 2: TΔ shall be extended to 2*T</w:t>
      </w:r>
      <w:r>
        <w:rPr>
          <w:rFonts w:hint="eastAsia" w:eastAsia="宋体"/>
          <w:b/>
          <w:bCs/>
          <w:vertAlign w:val="subscript"/>
          <w:lang w:val="en-US" w:eastAsia="zh-CN"/>
        </w:rPr>
        <w:t>rs</w:t>
      </w:r>
      <w:r>
        <w:rPr>
          <w:rFonts w:hint="eastAsia" w:eastAsia="宋体"/>
          <w:b/>
          <w:bCs/>
          <w:vertAlign w:val="baseline"/>
          <w:lang w:val="en-US" w:eastAsia="zh-CN"/>
        </w:rPr>
        <w:t>.</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spacing w:after="120"/>
        <w:rPr>
          <w:b/>
          <w:bCs/>
          <w:iCs/>
          <w:szCs w:val="21"/>
          <w:highlight w:val="green"/>
        </w:rPr>
      </w:pPr>
      <w:r>
        <w:rPr>
          <w:rFonts w:hint="eastAsia"/>
          <w:b/>
          <w:bCs/>
          <w:lang w:val="en-US" w:eastAsia="zh-CN"/>
        </w:rPr>
        <w:t>Pr</w:t>
      </w:r>
      <w:r>
        <w:rPr>
          <w:rFonts w:hint="eastAsia"/>
          <w:b/>
          <w:bCs/>
          <w:highlight w:val="none"/>
          <w:lang w:val="en-US" w:eastAsia="zh-CN"/>
        </w:rPr>
        <w:t xml:space="preserve">oposal 1: </w:t>
      </w:r>
      <w:r>
        <w:rPr>
          <w:b/>
          <w:bCs/>
          <w:iCs/>
          <w:szCs w:val="21"/>
          <w:highlight w:val="none"/>
        </w:rPr>
        <w:t>The number of SSB samples for Rel-18 NTN measurement requirements (T</w:t>
      </w:r>
      <w:r>
        <w:rPr>
          <w:b/>
          <w:bCs/>
          <w:iCs/>
          <w:szCs w:val="21"/>
          <w:highlight w:val="none"/>
          <w:vertAlign w:val="subscript"/>
        </w:rPr>
        <w:t>identify_xxx_with_index</w:t>
      </w:r>
      <w:r>
        <w:rPr>
          <w:b/>
          <w:bCs/>
          <w:iCs/>
          <w:szCs w:val="21"/>
          <w:highlight w:val="none"/>
        </w:rPr>
        <w:t>) can be extended to by 4 and 3</w:t>
      </w:r>
      <w:r>
        <w:rPr>
          <w:rFonts w:hint="eastAsia" w:eastAsia="宋体"/>
          <w:b/>
          <w:bCs/>
          <w:iCs/>
          <w:szCs w:val="21"/>
          <w:highlight w:val="none"/>
          <w:lang w:val="en-US" w:eastAsia="zh-CN"/>
        </w:rPr>
        <w:t xml:space="preserve"> </w:t>
      </w:r>
      <w:r>
        <w:rPr>
          <w:b/>
          <w:bCs/>
          <w:iCs/>
          <w:szCs w:val="21"/>
          <w:highlight w:val="none"/>
        </w:rPr>
        <w:t>for intra-frequency and inter-frequency cases respectively.</w:t>
      </w:r>
    </w:p>
    <w:p>
      <w:pPr>
        <w:jc w:val="both"/>
        <w:rPr>
          <w:rFonts w:hint="default" w:eastAsia="宋体"/>
          <w:b/>
          <w:bCs/>
          <w:vertAlign w:val="baseline"/>
          <w:lang w:val="en-US" w:eastAsia="zh-CN"/>
        </w:rPr>
      </w:pPr>
      <w:r>
        <w:rPr>
          <w:rFonts w:hint="eastAsia" w:eastAsia="宋体"/>
          <w:b/>
          <w:bCs/>
          <w:vertAlign w:val="baseline"/>
          <w:lang w:val="en-US" w:eastAsia="zh-CN"/>
        </w:rPr>
        <w:t>Proposal 2: TΔ shall be extended to 2*T</w:t>
      </w:r>
      <w:r>
        <w:rPr>
          <w:rFonts w:hint="eastAsia" w:eastAsia="宋体"/>
          <w:b/>
          <w:bCs/>
          <w:vertAlign w:val="subscript"/>
          <w:lang w:val="en-US" w:eastAsia="zh-CN"/>
        </w:rPr>
        <w:t>rs</w:t>
      </w:r>
      <w:r>
        <w:rPr>
          <w:rFonts w:hint="eastAsia" w:eastAsia="宋体"/>
          <w:b/>
          <w:bCs/>
          <w:vertAlign w:val="baseline"/>
          <w:lang w:val="en-US" w:eastAsia="zh-CN"/>
        </w:rPr>
        <w:t>.</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4"/>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4"/>
        </w:numPr>
        <w:rPr>
          <w:rFonts w:hint="default"/>
          <w:lang w:val="en-US" w:eastAsia="zh-CN"/>
        </w:rPr>
      </w:pPr>
      <w:r>
        <w:rPr>
          <w:rFonts w:hint="eastAsia"/>
          <w:lang w:val="en-US" w:eastAsia="zh-CN"/>
        </w:rPr>
        <w:t>TS38.133</w:t>
      </w:r>
    </w:p>
    <w:p>
      <w:pPr>
        <w:numPr>
          <w:ilvl w:val="0"/>
          <w:numId w:val="4"/>
        </w:numPr>
        <w:rPr>
          <w:rFonts w:hint="default"/>
          <w:lang w:val="en-US" w:eastAsia="zh-CN"/>
        </w:rPr>
      </w:pPr>
      <w:r>
        <w:rPr>
          <w:rFonts w:hint="eastAsia"/>
          <w:lang w:val="en-US" w:eastAsia="zh-CN"/>
        </w:rPr>
        <w:t xml:space="preserve">R4-2502589, </w:t>
      </w:r>
      <w:r>
        <w:rPr>
          <w:rFonts w:hint="default"/>
          <w:lang w:val="en-US" w:eastAsia="zh-CN"/>
        </w:rPr>
        <w:t>“WF on RRM requirements for NR_IoT_NTN_req_test_enh ”</w:t>
      </w:r>
      <w:r>
        <w:rPr>
          <w:rFonts w:hint="eastAsia"/>
          <w:lang w:val="en-US" w:eastAsia="zh-CN"/>
        </w:rPr>
        <w:t>, Xiaomi.</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82CD3"/>
    <w:rsid w:val="021951FF"/>
    <w:rsid w:val="023A59BC"/>
    <w:rsid w:val="02402E7C"/>
    <w:rsid w:val="02505886"/>
    <w:rsid w:val="025A5C68"/>
    <w:rsid w:val="027C74A2"/>
    <w:rsid w:val="029011A2"/>
    <w:rsid w:val="02A03627"/>
    <w:rsid w:val="02B66382"/>
    <w:rsid w:val="02D4593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50C7718"/>
    <w:rsid w:val="0510745B"/>
    <w:rsid w:val="05214F03"/>
    <w:rsid w:val="052F7D10"/>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43605"/>
    <w:rsid w:val="060D0D66"/>
    <w:rsid w:val="061F2E9B"/>
    <w:rsid w:val="062C2061"/>
    <w:rsid w:val="062D43AF"/>
    <w:rsid w:val="06311BAC"/>
    <w:rsid w:val="06382368"/>
    <w:rsid w:val="06785C08"/>
    <w:rsid w:val="067C67DB"/>
    <w:rsid w:val="067F65D2"/>
    <w:rsid w:val="068158A4"/>
    <w:rsid w:val="06A05FC0"/>
    <w:rsid w:val="06AE1485"/>
    <w:rsid w:val="06E54956"/>
    <w:rsid w:val="07007517"/>
    <w:rsid w:val="07073FA3"/>
    <w:rsid w:val="070F1174"/>
    <w:rsid w:val="072F7FC6"/>
    <w:rsid w:val="0732584E"/>
    <w:rsid w:val="074109F4"/>
    <w:rsid w:val="07583E9D"/>
    <w:rsid w:val="075A7EF6"/>
    <w:rsid w:val="076202A2"/>
    <w:rsid w:val="076A2A73"/>
    <w:rsid w:val="078759D7"/>
    <w:rsid w:val="07AE506C"/>
    <w:rsid w:val="07C05808"/>
    <w:rsid w:val="07C22AAD"/>
    <w:rsid w:val="07C3764D"/>
    <w:rsid w:val="07C644D1"/>
    <w:rsid w:val="07F66AC5"/>
    <w:rsid w:val="07FA2981"/>
    <w:rsid w:val="081F651B"/>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9C4684"/>
    <w:rsid w:val="09B94817"/>
    <w:rsid w:val="09BB6580"/>
    <w:rsid w:val="09D40F3F"/>
    <w:rsid w:val="09E30E5D"/>
    <w:rsid w:val="09F25D5F"/>
    <w:rsid w:val="0A1131EF"/>
    <w:rsid w:val="0A141797"/>
    <w:rsid w:val="0A143BE1"/>
    <w:rsid w:val="0A220AAD"/>
    <w:rsid w:val="0A263E9C"/>
    <w:rsid w:val="0A286DFB"/>
    <w:rsid w:val="0A5002F7"/>
    <w:rsid w:val="0A5164D1"/>
    <w:rsid w:val="0A6C43DE"/>
    <w:rsid w:val="0ABC02E8"/>
    <w:rsid w:val="0AC16484"/>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927AF3"/>
    <w:rsid w:val="0B997D22"/>
    <w:rsid w:val="0BA069F6"/>
    <w:rsid w:val="0BB6397D"/>
    <w:rsid w:val="0BC97B6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AC6DE2"/>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26EB5"/>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FF3FF2"/>
    <w:rsid w:val="1008703A"/>
    <w:rsid w:val="10126FBC"/>
    <w:rsid w:val="103809FF"/>
    <w:rsid w:val="10764104"/>
    <w:rsid w:val="108A5F33"/>
    <w:rsid w:val="108F6F5D"/>
    <w:rsid w:val="1094235B"/>
    <w:rsid w:val="1096068D"/>
    <w:rsid w:val="109F23E5"/>
    <w:rsid w:val="10B951CF"/>
    <w:rsid w:val="10BB3068"/>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44AB3"/>
    <w:rsid w:val="120C7685"/>
    <w:rsid w:val="121015B2"/>
    <w:rsid w:val="12277752"/>
    <w:rsid w:val="12342A01"/>
    <w:rsid w:val="12371472"/>
    <w:rsid w:val="12533BE9"/>
    <w:rsid w:val="12563736"/>
    <w:rsid w:val="126548EE"/>
    <w:rsid w:val="12817181"/>
    <w:rsid w:val="12911818"/>
    <w:rsid w:val="129E41E5"/>
    <w:rsid w:val="12AA4BE9"/>
    <w:rsid w:val="12B1333A"/>
    <w:rsid w:val="12C003F7"/>
    <w:rsid w:val="12C7679B"/>
    <w:rsid w:val="12DD774D"/>
    <w:rsid w:val="12E20B88"/>
    <w:rsid w:val="130D494D"/>
    <w:rsid w:val="13202B24"/>
    <w:rsid w:val="13283A05"/>
    <w:rsid w:val="132B46CB"/>
    <w:rsid w:val="133E4EC4"/>
    <w:rsid w:val="134B7D6A"/>
    <w:rsid w:val="135702FC"/>
    <w:rsid w:val="13581549"/>
    <w:rsid w:val="136404F3"/>
    <w:rsid w:val="137E2663"/>
    <w:rsid w:val="13B61E8E"/>
    <w:rsid w:val="13C23A1B"/>
    <w:rsid w:val="13C76244"/>
    <w:rsid w:val="13CF28FB"/>
    <w:rsid w:val="13DA7C15"/>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82D3E"/>
    <w:rsid w:val="167046E9"/>
    <w:rsid w:val="167E382D"/>
    <w:rsid w:val="16B64EC9"/>
    <w:rsid w:val="16C14D16"/>
    <w:rsid w:val="16C8771D"/>
    <w:rsid w:val="16DC0535"/>
    <w:rsid w:val="16FA20DA"/>
    <w:rsid w:val="17060D55"/>
    <w:rsid w:val="170716B6"/>
    <w:rsid w:val="170F5DE2"/>
    <w:rsid w:val="17203431"/>
    <w:rsid w:val="172C56B5"/>
    <w:rsid w:val="1748083E"/>
    <w:rsid w:val="17553F9F"/>
    <w:rsid w:val="175623CE"/>
    <w:rsid w:val="175E2809"/>
    <w:rsid w:val="176538DA"/>
    <w:rsid w:val="17787D90"/>
    <w:rsid w:val="1794775D"/>
    <w:rsid w:val="17B11330"/>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870C54"/>
    <w:rsid w:val="189D2207"/>
    <w:rsid w:val="18A45C40"/>
    <w:rsid w:val="18D57338"/>
    <w:rsid w:val="18E96032"/>
    <w:rsid w:val="18EE62E8"/>
    <w:rsid w:val="18F632EB"/>
    <w:rsid w:val="18F96461"/>
    <w:rsid w:val="18FF308F"/>
    <w:rsid w:val="19094BBF"/>
    <w:rsid w:val="19116F8E"/>
    <w:rsid w:val="194E6691"/>
    <w:rsid w:val="19551A74"/>
    <w:rsid w:val="195942F0"/>
    <w:rsid w:val="195F7D63"/>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237B53"/>
    <w:rsid w:val="1A342071"/>
    <w:rsid w:val="1A5163D6"/>
    <w:rsid w:val="1A54768F"/>
    <w:rsid w:val="1A5A669E"/>
    <w:rsid w:val="1A796C32"/>
    <w:rsid w:val="1A9B6333"/>
    <w:rsid w:val="1AA11028"/>
    <w:rsid w:val="1AB623A5"/>
    <w:rsid w:val="1AB9028C"/>
    <w:rsid w:val="1AB91166"/>
    <w:rsid w:val="1ABD699B"/>
    <w:rsid w:val="1AC56317"/>
    <w:rsid w:val="1AD6319E"/>
    <w:rsid w:val="1AE47B80"/>
    <w:rsid w:val="1B4B651F"/>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54E9B"/>
    <w:rsid w:val="1CBB1BB0"/>
    <w:rsid w:val="1CBC5611"/>
    <w:rsid w:val="1CCB7770"/>
    <w:rsid w:val="1CD22EF6"/>
    <w:rsid w:val="1CD7177C"/>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51952"/>
    <w:rsid w:val="1E5F1F97"/>
    <w:rsid w:val="1E6C5F4E"/>
    <w:rsid w:val="1E755015"/>
    <w:rsid w:val="1EA42272"/>
    <w:rsid w:val="1EA65561"/>
    <w:rsid w:val="1EAD4127"/>
    <w:rsid w:val="1EB70BD9"/>
    <w:rsid w:val="1EB8797A"/>
    <w:rsid w:val="1EE142F9"/>
    <w:rsid w:val="1EEC719E"/>
    <w:rsid w:val="1EEE2F09"/>
    <w:rsid w:val="1EF7018A"/>
    <w:rsid w:val="1F0242AA"/>
    <w:rsid w:val="1F044236"/>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84BED"/>
    <w:rsid w:val="207F7CDD"/>
    <w:rsid w:val="20A4578F"/>
    <w:rsid w:val="20BC55C4"/>
    <w:rsid w:val="20CA6414"/>
    <w:rsid w:val="20D40A6C"/>
    <w:rsid w:val="20D60AAE"/>
    <w:rsid w:val="20D94EF4"/>
    <w:rsid w:val="21061BA2"/>
    <w:rsid w:val="2121427E"/>
    <w:rsid w:val="21262CBA"/>
    <w:rsid w:val="212B1C97"/>
    <w:rsid w:val="21361FB5"/>
    <w:rsid w:val="214B3D89"/>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935B5"/>
    <w:rsid w:val="22923DE9"/>
    <w:rsid w:val="22973417"/>
    <w:rsid w:val="229D5794"/>
    <w:rsid w:val="22AD1241"/>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232DE5"/>
    <w:rsid w:val="244A408C"/>
    <w:rsid w:val="245A6743"/>
    <w:rsid w:val="246A08B9"/>
    <w:rsid w:val="24754B15"/>
    <w:rsid w:val="247F64CC"/>
    <w:rsid w:val="248D420D"/>
    <w:rsid w:val="24921B27"/>
    <w:rsid w:val="24A0121D"/>
    <w:rsid w:val="24B0652D"/>
    <w:rsid w:val="24B97631"/>
    <w:rsid w:val="24C90419"/>
    <w:rsid w:val="24D24D56"/>
    <w:rsid w:val="24E2407F"/>
    <w:rsid w:val="24E32289"/>
    <w:rsid w:val="24ED1C1E"/>
    <w:rsid w:val="24F0284D"/>
    <w:rsid w:val="24F039A5"/>
    <w:rsid w:val="250E20E4"/>
    <w:rsid w:val="25202C91"/>
    <w:rsid w:val="252331A5"/>
    <w:rsid w:val="252733A0"/>
    <w:rsid w:val="253B3A36"/>
    <w:rsid w:val="25425A19"/>
    <w:rsid w:val="25490B3E"/>
    <w:rsid w:val="256E6C47"/>
    <w:rsid w:val="256F1A53"/>
    <w:rsid w:val="258B2F2B"/>
    <w:rsid w:val="258B31A0"/>
    <w:rsid w:val="25AB3D1C"/>
    <w:rsid w:val="25AC53DC"/>
    <w:rsid w:val="25C40884"/>
    <w:rsid w:val="25C73A07"/>
    <w:rsid w:val="25CB7FC0"/>
    <w:rsid w:val="25D30AA5"/>
    <w:rsid w:val="25D90A1B"/>
    <w:rsid w:val="25DC0129"/>
    <w:rsid w:val="25DF10AE"/>
    <w:rsid w:val="25E22192"/>
    <w:rsid w:val="25F332FF"/>
    <w:rsid w:val="25FE37D6"/>
    <w:rsid w:val="26274BB6"/>
    <w:rsid w:val="26356536"/>
    <w:rsid w:val="264B61DF"/>
    <w:rsid w:val="266853CB"/>
    <w:rsid w:val="268B243A"/>
    <w:rsid w:val="268C0700"/>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B19F4"/>
    <w:rsid w:val="28BD3A65"/>
    <w:rsid w:val="28BD5FE3"/>
    <w:rsid w:val="28D71E0B"/>
    <w:rsid w:val="28DC39BE"/>
    <w:rsid w:val="28DD5BCB"/>
    <w:rsid w:val="28E01F8A"/>
    <w:rsid w:val="28F045AC"/>
    <w:rsid w:val="291B318A"/>
    <w:rsid w:val="291D583E"/>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2D73EC"/>
    <w:rsid w:val="2A2E4CEB"/>
    <w:rsid w:val="2A3B565F"/>
    <w:rsid w:val="2A4A3088"/>
    <w:rsid w:val="2A5D0C96"/>
    <w:rsid w:val="2A653259"/>
    <w:rsid w:val="2A8F4841"/>
    <w:rsid w:val="2AA270FE"/>
    <w:rsid w:val="2AA369DD"/>
    <w:rsid w:val="2AD06022"/>
    <w:rsid w:val="2AD63975"/>
    <w:rsid w:val="2ADD1B0D"/>
    <w:rsid w:val="2AEC47FC"/>
    <w:rsid w:val="2AF1331E"/>
    <w:rsid w:val="2AF46F08"/>
    <w:rsid w:val="2AF81BE3"/>
    <w:rsid w:val="2AFF23A5"/>
    <w:rsid w:val="2B176F87"/>
    <w:rsid w:val="2B361003"/>
    <w:rsid w:val="2B3762A6"/>
    <w:rsid w:val="2B3C6641"/>
    <w:rsid w:val="2B4A27A4"/>
    <w:rsid w:val="2B5B0F6E"/>
    <w:rsid w:val="2B792D84"/>
    <w:rsid w:val="2B925FDF"/>
    <w:rsid w:val="2B9970F1"/>
    <w:rsid w:val="2BB74A47"/>
    <w:rsid w:val="2BE501C7"/>
    <w:rsid w:val="2BE57DB5"/>
    <w:rsid w:val="2BED2E55"/>
    <w:rsid w:val="2C1738CF"/>
    <w:rsid w:val="2C1945D8"/>
    <w:rsid w:val="2C3E23A2"/>
    <w:rsid w:val="2C4E7E38"/>
    <w:rsid w:val="2C5113C3"/>
    <w:rsid w:val="2C6C7918"/>
    <w:rsid w:val="2C783906"/>
    <w:rsid w:val="2C9E472D"/>
    <w:rsid w:val="2CB5787B"/>
    <w:rsid w:val="2CC43900"/>
    <w:rsid w:val="2CCA4381"/>
    <w:rsid w:val="2CD30F03"/>
    <w:rsid w:val="2CD66FAA"/>
    <w:rsid w:val="2CD91EE3"/>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A08E0"/>
    <w:rsid w:val="2DAF78FF"/>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C4BFB"/>
    <w:rsid w:val="2F471420"/>
    <w:rsid w:val="2F626907"/>
    <w:rsid w:val="2F6B4720"/>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F34FAE"/>
    <w:rsid w:val="3133127A"/>
    <w:rsid w:val="31353CD7"/>
    <w:rsid w:val="313E620E"/>
    <w:rsid w:val="313E6CDE"/>
    <w:rsid w:val="313F3759"/>
    <w:rsid w:val="31727F68"/>
    <w:rsid w:val="317662E9"/>
    <w:rsid w:val="31907F15"/>
    <w:rsid w:val="31954796"/>
    <w:rsid w:val="31962DAE"/>
    <w:rsid w:val="319F0073"/>
    <w:rsid w:val="31B9498A"/>
    <w:rsid w:val="31CB6BC1"/>
    <w:rsid w:val="31CE7B45"/>
    <w:rsid w:val="31DD48DC"/>
    <w:rsid w:val="31E60453"/>
    <w:rsid w:val="32044DED"/>
    <w:rsid w:val="320C562E"/>
    <w:rsid w:val="3215767E"/>
    <w:rsid w:val="32327738"/>
    <w:rsid w:val="323F70E3"/>
    <w:rsid w:val="32414601"/>
    <w:rsid w:val="324B22D2"/>
    <w:rsid w:val="32575E9A"/>
    <w:rsid w:val="325C3AF5"/>
    <w:rsid w:val="3262622A"/>
    <w:rsid w:val="327A0FE8"/>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AF56A8"/>
    <w:rsid w:val="35C72C49"/>
    <w:rsid w:val="35F73AA1"/>
    <w:rsid w:val="35F853BB"/>
    <w:rsid w:val="35FB1676"/>
    <w:rsid w:val="361526DE"/>
    <w:rsid w:val="36225127"/>
    <w:rsid w:val="36237E20"/>
    <w:rsid w:val="362551E1"/>
    <w:rsid w:val="36286678"/>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937808"/>
    <w:rsid w:val="3BC25680"/>
    <w:rsid w:val="3BD653F5"/>
    <w:rsid w:val="3BE16ECF"/>
    <w:rsid w:val="3BED0FCA"/>
    <w:rsid w:val="3C211965"/>
    <w:rsid w:val="3C226C56"/>
    <w:rsid w:val="3C4B0ED5"/>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932B8"/>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493F5C"/>
    <w:rsid w:val="3F536673"/>
    <w:rsid w:val="3F5A79F3"/>
    <w:rsid w:val="3F5D2E4D"/>
    <w:rsid w:val="3F5F1F5C"/>
    <w:rsid w:val="3F6A5EE0"/>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71599"/>
    <w:rsid w:val="418E52EE"/>
    <w:rsid w:val="41A04E11"/>
    <w:rsid w:val="41CA6260"/>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D64E6"/>
    <w:rsid w:val="443B3A4C"/>
    <w:rsid w:val="444B0AC4"/>
    <w:rsid w:val="444C64B0"/>
    <w:rsid w:val="444D54BA"/>
    <w:rsid w:val="44742FDB"/>
    <w:rsid w:val="447636BF"/>
    <w:rsid w:val="44951997"/>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60F4303"/>
    <w:rsid w:val="462E7E70"/>
    <w:rsid w:val="463144E8"/>
    <w:rsid w:val="46335004"/>
    <w:rsid w:val="46424079"/>
    <w:rsid w:val="466317E7"/>
    <w:rsid w:val="4664520C"/>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F46C1C"/>
    <w:rsid w:val="48072039"/>
    <w:rsid w:val="480B19F6"/>
    <w:rsid w:val="480E7E09"/>
    <w:rsid w:val="481D675B"/>
    <w:rsid w:val="482109E5"/>
    <w:rsid w:val="48212AE9"/>
    <w:rsid w:val="48281A14"/>
    <w:rsid w:val="484D05AF"/>
    <w:rsid w:val="48580B3F"/>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E6E1E"/>
    <w:rsid w:val="491F7F64"/>
    <w:rsid w:val="492A1BD4"/>
    <w:rsid w:val="49466C5B"/>
    <w:rsid w:val="49564BCC"/>
    <w:rsid w:val="49582843"/>
    <w:rsid w:val="49733467"/>
    <w:rsid w:val="49A418F2"/>
    <w:rsid w:val="49AD5BED"/>
    <w:rsid w:val="49BE170B"/>
    <w:rsid w:val="49C8100A"/>
    <w:rsid w:val="49FD4166"/>
    <w:rsid w:val="49FF2037"/>
    <w:rsid w:val="4A0A7F62"/>
    <w:rsid w:val="4A1D00AC"/>
    <w:rsid w:val="4A270A04"/>
    <w:rsid w:val="4A36625B"/>
    <w:rsid w:val="4A414188"/>
    <w:rsid w:val="4A47591B"/>
    <w:rsid w:val="4A4C4C82"/>
    <w:rsid w:val="4A6F608D"/>
    <w:rsid w:val="4A767F31"/>
    <w:rsid w:val="4A885CE1"/>
    <w:rsid w:val="4A9452E5"/>
    <w:rsid w:val="4A9F2D3A"/>
    <w:rsid w:val="4ABA66FB"/>
    <w:rsid w:val="4ABE4F66"/>
    <w:rsid w:val="4ABF0894"/>
    <w:rsid w:val="4ACC37A5"/>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B31E0A"/>
    <w:rsid w:val="4BC60804"/>
    <w:rsid w:val="4BC74E08"/>
    <w:rsid w:val="4BCF4885"/>
    <w:rsid w:val="4BD07997"/>
    <w:rsid w:val="4BDF3E16"/>
    <w:rsid w:val="4BF722AF"/>
    <w:rsid w:val="4C1003D8"/>
    <w:rsid w:val="4C1705E5"/>
    <w:rsid w:val="4C203473"/>
    <w:rsid w:val="4C2F2351"/>
    <w:rsid w:val="4C352DA8"/>
    <w:rsid w:val="4C366477"/>
    <w:rsid w:val="4C376F62"/>
    <w:rsid w:val="4C381F65"/>
    <w:rsid w:val="4C6E6BF7"/>
    <w:rsid w:val="4C6F66E5"/>
    <w:rsid w:val="4C786851"/>
    <w:rsid w:val="4C942881"/>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F521AC"/>
    <w:rsid w:val="4E0A2800"/>
    <w:rsid w:val="4E0D58C8"/>
    <w:rsid w:val="4E154828"/>
    <w:rsid w:val="4E222649"/>
    <w:rsid w:val="4E244D2D"/>
    <w:rsid w:val="4E5079C5"/>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45D86"/>
    <w:rsid w:val="4F896D46"/>
    <w:rsid w:val="4F974D24"/>
    <w:rsid w:val="4FA14EEC"/>
    <w:rsid w:val="4FA84227"/>
    <w:rsid w:val="4FC231DA"/>
    <w:rsid w:val="4FE223EE"/>
    <w:rsid w:val="4FE3097A"/>
    <w:rsid w:val="4FFD3A77"/>
    <w:rsid w:val="501F59A7"/>
    <w:rsid w:val="503642D7"/>
    <w:rsid w:val="503D3F59"/>
    <w:rsid w:val="504C7CCA"/>
    <w:rsid w:val="50650862"/>
    <w:rsid w:val="50681179"/>
    <w:rsid w:val="50812723"/>
    <w:rsid w:val="50864F3F"/>
    <w:rsid w:val="5091713A"/>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C234B"/>
    <w:rsid w:val="536F3F83"/>
    <w:rsid w:val="53703E8D"/>
    <w:rsid w:val="53707DDE"/>
    <w:rsid w:val="537E0058"/>
    <w:rsid w:val="53943296"/>
    <w:rsid w:val="53950AA6"/>
    <w:rsid w:val="539605FB"/>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87FBD"/>
    <w:rsid w:val="55B41C64"/>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94301"/>
    <w:rsid w:val="5ACF40CD"/>
    <w:rsid w:val="5AE67733"/>
    <w:rsid w:val="5AF57B23"/>
    <w:rsid w:val="5AFD3B96"/>
    <w:rsid w:val="5B0C640C"/>
    <w:rsid w:val="5B170C5D"/>
    <w:rsid w:val="5B2D305D"/>
    <w:rsid w:val="5B443E9C"/>
    <w:rsid w:val="5B4C1057"/>
    <w:rsid w:val="5B53327E"/>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7F58F3"/>
    <w:rsid w:val="5C80234E"/>
    <w:rsid w:val="5CC83DC7"/>
    <w:rsid w:val="5CD7479C"/>
    <w:rsid w:val="5CE536CF"/>
    <w:rsid w:val="5CE568F8"/>
    <w:rsid w:val="5CF33064"/>
    <w:rsid w:val="5D013D09"/>
    <w:rsid w:val="5D0576C4"/>
    <w:rsid w:val="5D203E5D"/>
    <w:rsid w:val="5D230368"/>
    <w:rsid w:val="5D255730"/>
    <w:rsid w:val="5D424AC5"/>
    <w:rsid w:val="5D5667E0"/>
    <w:rsid w:val="5D580881"/>
    <w:rsid w:val="5D6261CB"/>
    <w:rsid w:val="5DA056A3"/>
    <w:rsid w:val="5DA13534"/>
    <w:rsid w:val="5DC9382F"/>
    <w:rsid w:val="5DCB56EC"/>
    <w:rsid w:val="5DD14279"/>
    <w:rsid w:val="5DE448D2"/>
    <w:rsid w:val="5DF441FF"/>
    <w:rsid w:val="5E057AF6"/>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A6139"/>
    <w:rsid w:val="5FFB5E88"/>
    <w:rsid w:val="600A6271"/>
    <w:rsid w:val="601101FB"/>
    <w:rsid w:val="60357E4D"/>
    <w:rsid w:val="6046706E"/>
    <w:rsid w:val="60492B3E"/>
    <w:rsid w:val="60565E64"/>
    <w:rsid w:val="605E55CF"/>
    <w:rsid w:val="606A06BA"/>
    <w:rsid w:val="60747DCE"/>
    <w:rsid w:val="6089047C"/>
    <w:rsid w:val="608D4CE3"/>
    <w:rsid w:val="60A859A2"/>
    <w:rsid w:val="60AB29AA"/>
    <w:rsid w:val="60AC67BD"/>
    <w:rsid w:val="60AE372D"/>
    <w:rsid w:val="60C06489"/>
    <w:rsid w:val="60CD295D"/>
    <w:rsid w:val="60CE2A0E"/>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F7AFC"/>
    <w:rsid w:val="639215D8"/>
    <w:rsid w:val="63A36BE5"/>
    <w:rsid w:val="63C04B8A"/>
    <w:rsid w:val="63D42229"/>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832E7"/>
    <w:rsid w:val="67447CAA"/>
    <w:rsid w:val="67603184"/>
    <w:rsid w:val="676569B0"/>
    <w:rsid w:val="67662B31"/>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C7864"/>
    <w:rsid w:val="68BD141F"/>
    <w:rsid w:val="68C2312F"/>
    <w:rsid w:val="68CC74D0"/>
    <w:rsid w:val="68DD058C"/>
    <w:rsid w:val="68E84B74"/>
    <w:rsid w:val="68FE4D8A"/>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3B6DD7"/>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3816B9"/>
    <w:rsid w:val="6B457289"/>
    <w:rsid w:val="6B4736DA"/>
    <w:rsid w:val="6B4F341C"/>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3B602B"/>
    <w:rsid w:val="6C3E480C"/>
    <w:rsid w:val="6C4A348A"/>
    <w:rsid w:val="6C4A4478"/>
    <w:rsid w:val="6C5002D5"/>
    <w:rsid w:val="6C69343B"/>
    <w:rsid w:val="6C737CFB"/>
    <w:rsid w:val="6C777224"/>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9D000B"/>
    <w:rsid w:val="6DA026C8"/>
    <w:rsid w:val="6DAC5479"/>
    <w:rsid w:val="6DB46943"/>
    <w:rsid w:val="6DC62455"/>
    <w:rsid w:val="6DE4394A"/>
    <w:rsid w:val="6DED7696"/>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B6955"/>
    <w:rsid w:val="6F200617"/>
    <w:rsid w:val="6F206808"/>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F1283A"/>
    <w:rsid w:val="700D5DEC"/>
    <w:rsid w:val="70563262"/>
    <w:rsid w:val="705873A3"/>
    <w:rsid w:val="70726F06"/>
    <w:rsid w:val="708C46A0"/>
    <w:rsid w:val="709910D5"/>
    <w:rsid w:val="709C35CE"/>
    <w:rsid w:val="70B26D33"/>
    <w:rsid w:val="70B54946"/>
    <w:rsid w:val="70D216D3"/>
    <w:rsid w:val="70D9122B"/>
    <w:rsid w:val="70F63584"/>
    <w:rsid w:val="71013AC4"/>
    <w:rsid w:val="71306040"/>
    <w:rsid w:val="71534AAE"/>
    <w:rsid w:val="7158431A"/>
    <w:rsid w:val="71613AEC"/>
    <w:rsid w:val="716C54B9"/>
    <w:rsid w:val="717C638C"/>
    <w:rsid w:val="71896C8F"/>
    <w:rsid w:val="719B216D"/>
    <w:rsid w:val="71B330DD"/>
    <w:rsid w:val="71B752EE"/>
    <w:rsid w:val="71C66F16"/>
    <w:rsid w:val="71DB12A7"/>
    <w:rsid w:val="71E40223"/>
    <w:rsid w:val="72106F1F"/>
    <w:rsid w:val="722D57C7"/>
    <w:rsid w:val="723423C2"/>
    <w:rsid w:val="724062B5"/>
    <w:rsid w:val="724A0704"/>
    <w:rsid w:val="724F46F0"/>
    <w:rsid w:val="7255143F"/>
    <w:rsid w:val="726436E6"/>
    <w:rsid w:val="72700C83"/>
    <w:rsid w:val="727E6483"/>
    <w:rsid w:val="72843406"/>
    <w:rsid w:val="728453D5"/>
    <w:rsid w:val="72935827"/>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CA3785"/>
    <w:rsid w:val="73CE0E30"/>
    <w:rsid w:val="73E42131"/>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101C40"/>
    <w:rsid w:val="75225CBF"/>
    <w:rsid w:val="75350693"/>
    <w:rsid w:val="753B48E1"/>
    <w:rsid w:val="7546677D"/>
    <w:rsid w:val="754B2AC0"/>
    <w:rsid w:val="754D466C"/>
    <w:rsid w:val="754F4CC4"/>
    <w:rsid w:val="7554600D"/>
    <w:rsid w:val="756338A7"/>
    <w:rsid w:val="756E0B0A"/>
    <w:rsid w:val="756F18B8"/>
    <w:rsid w:val="757031D9"/>
    <w:rsid w:val="75806983"/>
    <w:rsid w:val="75814167"/>
    <w:rsid w:val="75842DFC"/>
    <w:rsid w:val="758E0290"/>
    <w:rsid w:val="75A667A1"/>
    <w:rsid w:val="75B9416A"/>
    <w:rsid w:val="75BE0722"/>
    <w:rsid w:val="75C247F2"/>
    <w:rsid w:val="75CC7278"/>
    <w:rsid w:val="75CD7BB5"/>
    <w:rsid w:val="75D833A4"/>
    <w:rsid w:val="75ED7C1C"/>
    <w:rsid w:val="75F1698E"/>
    <w:rsid w:val="7616334A"/>
    <w:rsid w:val="762C54EE"/>
    <w:rsid w:val="76437D02"/>
    <w:rsid w:val="76442B95"/>
    <w:rsid w:val="765120A6"/>
    <w:rsid w:val="767F05D4"/>
    <w:rsid w:val="76A57736"/>
    <w:rsid w:val="76AC5B3C"/>
    <w:rsid w:val="76BF7D3D"/>
    <w:rsid w:val="76C52AEB"/>
    <w:rsid w:val="76D264D4"/>
    <w:rsid w:val="76D66A80"/>
    <w:rsid w:val="76E13C82"/>
    <w:rsid w:val="76E955C3"/>
    <w:rsid w:val="76FB26C3"/>
    <w:rsid w:val="76FD43AC"/>
    <w:rsid w:val="77123ACC"/>
    <w:rsid w:val="77247924"/>
    <w:rsid w:val="772B1B20"/>
    <w:rsid w:val="77406B01"/>
    <w:rsid w:val="77510935"/>
    <w:rsid w:val="77533C64"/>
    <w:rsid w:val="77634F3B"/>
    <w:rsid w:val="77691105"/>
    <w:rsid w:val="778A3EDB"/>
    <w:rsid w:val="778E76B4"/>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7089"/>
    <w:rsid w:val="79373219"/>
    <w:rsid w:val="794A4288"/>
    <w:rsid w:val="794C7980"/>
    <w:rsid w:val="7954036F"/>
    <w:rsid w:val="7963139E"/>
    <w:rsid w:val="796A36B4"/>
    <w:rsid w:val="796F2A8D"/>
    <w:rsid w:val="797A39DC"/>
    <w:rsid w:val="798B23A6"/>
    <w:rsid w:val="79A04DFD"/>
    <w:rsid w:val="79A86542"/>
    <w:rsid w:val="79BE5E62"/>
    <w:rsid w:val="79D00261"/>
    <w:rsid w:val="79D72059"/>
    <w:rsid w:val="79D917F7"/>
    <w:rsid w:val="79E34D47"/>
    <w:rsid w:val="79EC33C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9373C"/>
    <w:rsid w:val="7B8B54F1"/>
    <w:rsid w:val="7BCD7043"/>
    <w:rsid w:val="7BDA2B39"/>
    <w:rsid w:val="7BE114B4"/>
    <w:rsid w:val="7C0A4F8F"/>
    <w:rsid w:val="7C274E7E"/>
    <w:rsid w:val="7C280E42"/>
    <w:rsid w:val="7C4A7F77"/>
    <w:rsid w:val="7C4F49BF"/>
    <w:rsid w:val="7C7F4F3C"/>
    <w:rsid w:val="7C9C55B4"/>
    <w:rsid w:val="7CA544A2"/>
    <w:rsid w:val="7CA91615"/>
    <w:rsid w:val="7CB347D7"/>
    <w:rsid w:val="7CCD67D7"/>
    <w:rsid w:val="7CDA09AD"/>
    <w:rsid w:val="7CDB518C"/>
    <w:rsid w:val="7CE21673"/>
    <w:rsid w:val="7CE2570E"/>
    <w:rsid w:val="7CF45745"/>
    <w:rsid w:val="7D0E3538"/>
    <w:rsid w:val="7D1E37D2"/>
    <w:rsid w:val="7D4033FD"/>
    <w:rsid w:val="7D4D5856"/>
    <w:rsid w:val="7D537A55"/>
    <w:rsid w:val="7D737A9C"/>
    <w:rsid w:val="7D8234F7"/>
    <w:rsid w:val="7DAA16F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D326C7"/>
    <w:rsid w:val="7F0A6F2E"/>
    <w:rsid w:val="7F1E459D"/>
    <w:rsid w:val="7F21551C"/>
    <w:rsid w:val="7F251450"/>
    <w:rsid w:val="7F36688A"/>
    <w:rsid w:val="7F381A47"/>
    <w:rsid w:val="7F3932D6"/>
    <w:rsid w:val="7F3B3199"/>
    <w:rsid w:val="7F3D07F6"/>
    <w:rsid w:val="7F4D23DA"/>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2025-03-28T07:41:48Z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